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E8B8">
      <w:pPr>
        <w:ind w:left="-141" w:leftChars="-67" w:right="-143" w:rightChars="-68"/>
        <w:jc w:val="distribute"/>
        <w:outlineLvl w:val="0"/>
        <w:rPr>
          <w:rFonts w:ascii="方正小标宋简体" w:eastAsia="方正小标宋简体"/>
          <w:color w:val="FF0000"/>
          <w:spacing w:val="20"/>
          <w:w w:val="55"/>
          <w:sz w:val="144"/>
          <w:szCs w:val="144"/>
          <w:highlight w:val="none"/>
        </w:rPr>
      </w:pPr>
      <w:r>
        <w:rPr>
          <w:rFonts w:hint="eastAsia" w:ascii="方正小标宋简体" w:eastAsia="方正小标宋简体"/>
          <w:color w:val="FF0000"/>
          <w:spacing w:val="20"/>
          <w:w w:val="55"/>
          <w:sz w:val="144"/>
          <w:szCs w:val="144"/>
          <w:highlight w:val="none"/>
        </w:rPr>
        <w:t>滕州市医疗保障局文件</w:t>
      </w:r>
    </w:p>
    <w:p w14:paraId="2AF183D9">
      <w:pPr>
        <w:ind w:left="-141" w:leftChars="-67" w:right="-143" w:rightChars="-68"/>
        <w:jc w:val="center"/>
        <w:outlineLvl w:val="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滕医保发〔202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号</w:t>
      </w:r>
    </w:p>
    <w:p w14:paraId="3B9DA8DF">
      <w:pPr>
        <w:jc w:val="center"/>
        <w:rPr>
          <w:rFonts w:ascii="Calibri" w:hAnsi="Calibri"/>
          <w:szCs w:val="22"/>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285115</wp:posOffset>
                </wp:positionV>
                <wp:extent cx="5615940" cy="0"/>
                <wp:effectExtent l="0" t="13970" r="3810" b="241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9.45pt;margin-top:22.45pt;height:0pt;width:442.2pt;z-index:251659264;mso-width-relative:page;mso-height-relative:page;" filled="f" stroked="t" coordsize="21600,21600" o:gfxdata="UEsDBAoAAAAAAIdO4kAAAAAAAAAAAAAAAAAEAAAAZHJzL1BLAwQUAAAACACHTuJApzFfk9cAAAAJ&#10;AQAADwAAAGRycy9kb3ducmV2LnhtbE2PwU7DMAyG70i8Q2QkblvaaZtK13QCBDckRIHtmjWmqdY4&#10;VZN13dtjxAFOlu1Pvz8X28l1YsQhtJ4UpPMEBFLtTUuNgo/351kGIkRNRneeUMEFA2zL66tC58af&#10;6Q3HKjaCQyjkWoGNsc+lDLVFp8Pc90i8+/KD05HboZFm0GcOd51cJMlaOt0SX7C6x0eL9bE6OQXT&#10;Lru3+5f48OQ/X+1x2lduXFyUur1Jkw2IiFP8g+FHn9WhZKeDP5EJolMwS7M7RhUsl1wZyNarFYjD&#10;70CWhfz/QfkNUEsDBBQAAAAIAIdO4kBRk/Td7AEAALkDAAAOAAAAZHJzL2Uyb0RvYy54bWytU72O&#10;EzEQ7pF4B8s92U1EjmOVzRWJQnNApDsewPF6sxa2x/I42eQleAEkOqgo6e9tOB6DsfPDcTRXsIXl&#10;8cx8M983s5OrnTVsqwJqcDUfDkrOlJPQaLeu+YfbxYtLzjAK1wgDTtV8r5BfTZ8/m/S+UiPowDQq&#10;MAJxWPW+5l2MvioKlJ2yAgfglSNnC8GKSGZYF00QPaFbU4zK8qLoITQ+gFSI9Do/OPkRMTwFENpW&#10;SzUHubHKxQNqUEZEooSd9sinudu2VTK+b1tUkZmaE9OYTypC91U6i+lEVOsgfKflsQXxlBYecbJC&#10;Oyp6hpqLKNgm6H+grJYBENo4kGCLA5GsCLEYlo+0uemEV5kLSY3+LDr+P1j5brsMTDc1H3HmhKWB&#10;33/+8fPT1193X+i8//6NjZJIvceKYmduGRJNuXM3/hrkR2QOZp1wa5Wbvd17QhimjOKvlGSgp1Kr&#10;/i00FCM2EbJiuzbYBElasF0ezP48GLWLTNLj+GI4fv2SZiZPvkJUp0QfML5RYFm61NxolzQTldhe&#10;Y0yNiOoUkp4dLLQxee7GsZ6IX45fjXMGgtFN8qY4DOvVzAS2FbQ6i0VJX6ZFnodhATauOVQxLuWp&#10;vHXH0ifaBwFX0OyX4aQNTTQ3d9y+tDIP7azgnz9u+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MV+T1wAAAAkBAAAPAAAAAAAAAAEAIAAAACIAAABkcnMvZG93bnJldi54bWxQSwECFAAUAAAACACH&#10;TuJAUZP03ewBAAC5AwAADgAAAAAAAAABACAAAAAmAQAAZHJzL2Uyb0RvYy54bWxQSwUGAAAAAAYA&#10;BgBZAQAAhAUAAAAA&#10;">
                <v:fill on="f" focussize="0,0"/>
                <v:stroke weight="2.25pt" color="#FF0000" joinstyle="round"/>
                <v:imagedata o:title=""/>
                <o:lock v:ext="edit" aspectratio="f"/>
              </v:line>
            </w:pict>
          </mc:Fallback>
        </mc:AlternateContent>
      </w:r>
    </w:p>
    <w:p w14:paraId="431DD751">
      <w:pPr>
        <w:widowControl/>
        <w:spacing w:line="600" w:lineRule="exact"/>
        <w:jc w:val="both"/>
        <w:rPr>
          <w:rFonts w:ascii="方正小标宋简体" w:hAnsi="宋体" w:eastAsia="方正小标宋简体"/>
          <w:bCs/>
          <w:sz w:val="44"/>
          <w:szCs w:val="44"/>
          <w:highlight w:val="none"/>
        </w:rPr>
      </w:pPr>
    </w:p>
    <w:p w14:paraId="0379CF46">
      <w:pPr>
        <w:pStyle w:val="2"/>
        <w:rPr>
          <w:highlight w:val="none"/>
        </w:rPr>
      </w:pPr>
    </w:p>
    <w:p w14:paraId="176CFAE1">
      <w:pPr>
        <w:widowControl/>
        <w:spacing w:line="600" w:lineRule="exact"/>
        <w:jc w:val="center"/>
        <w:rPr>
          <w:highlight w:val="none"/>
        </w:rPr>
      </w:pPr>
      <w:r>
        <w:rPr>
          <w:rFonts w:hint="eastAsia" w:ascii="方正小标宋简体" w:hAnsi="宋体" w:eastAsia="方正小标宋简体"/>
          <w:bCs/>
          <w:sz w:val="44"/>
          <w:szCs w:val="44"/>
          <w:highlight w:val="none"/>
        </w:rPr>
        <w:t>关于印发《202</w:t>
      </w:r>
      <w:r>
        <w:rPr>
          <w:rFonts w:hint="eastAsia" w:ascii="方正小标宋简体" w:hAnsi="宋体" w:eastAsia="方正小标宋简体"/>
          <w:bCs/>
          <w:sz w:val="44"/>
          <w:szCs w:val="44"/>
          <w:highlight w:val="none"/>
          <w:lang w:val="en-US" w:eastAsia="zh-CN"/>
        </w:rPr>
        <w:t>4</w:t>
      </w:r>
      <w:r>
        <w:rPr>
          <w:rFonts w:hint="eastAsia" w:ascii="方正小标宋简体" w:hAnsi="宋体" w:eastAsia="方正小标宋简体"/>
          <w:bCs/>
          <w:sz w:val="44"/>
          <w:szCs w:val="44"/>
          <w:highlight w:val="none"/>
        </w:rPr>
        <w:t>年</w:t>
      </w:r>
      <w:r>
        <w:rPr>
          <w:rFonts w:hint="eastAsia" w:ascii="方正小标宋简体" w:eastAsia="方正小标宋简体" w:cs="宋体"/>
          <w:bCs/>
          <w:kern w:val="0"/>
          <w:sz w:val="44"/>
          <w:szCs w:val="44"/>
          <w:highlight w:val="none"/>
          <w:lang w:val="zh-CN"/>
        </w:rPr>
        <w:t>滕州市医疗保障工作要点</w:t>
      </w:r>
      <w:r>
        <w:rPr>
          <w:rFonts w:hint="eastAsia" w:ascii="方正小标宋简体" w:hAnsi="宋体" w:eastAsia="方正小标宋简体"/>
          <w:bCs/>
          <w:sz w:val="44"/>
          <w:szCs w:val="44"/>
          <w:highlight w:val="none"/>
        </w:rPr>
        <w:t>》的通知</w:t>
      </w:r>
    </w:p>
    <w:p w14:paraId="6EC6BD3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s="宋体"/>
          <w:sz w:val="32"/>
          <w:szCs w:val="32"/>
          <w:highlight w:val="none"/>
        </w:rPr>
      </w:pPr>
    </w:p>
    <w:p w14:paraId="6ECE16E5">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仿宋_GB2312" w:hAnsi="仿宋" w:eastAsia="仿宋_GB2312" w:cs="宋体"/>
          <w:color w:val="auto"/>
          <w:sz w:val="32"/>
          <w:szCs w:val="32"/>
          <w:highlight w:val="none"/>
          <w:lang w:val="en-US" w:eastAsia="zh-CN"/>
        </w:rPr>
      </w:pPr>
      <w:r>
        <w:rPr>
          <w:rFonts w:hint="eastAsia" w:ascii="仿宋_GB2312" w:hAnsi="仿宋" w:eastAsia="仿宋_GB2312" w:cs="宋体"/>
          <w:color w:val="auto"/>
          <w:sz w:val="32"/>
          <w:szCs w:val="32"/>
          <w:highlight w:val="none"/>
          <w:lang w:val="en-US" w:eastAsia="zh-CN"/>
        </w:rPr>
        <w:t>机关各科室，市医疗保险事业中心、市医疗保险基金稽核中心，各镇（街道）医保办：</w:t>
      </w:r>
    </w:p>
    <w:p w14:paraId="1FD3A78B">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rPr>
        <w:t>现将《202</w:t>
      </w:r>
      <w:r>
        <w:rPr>
          <w:rFonts w:hint="eastAsia" w:ascii="仿宋_GB2312" w:hAnsi="仿宋" w:eastAsia="仿宋_GB2312" w:cs="宋体"/>
          <w:color w:val="auto"/>
          <w:sz w:val="32"/>
          <w:szCs w:val="32"/>
          <w:highlight w:val="none"/>
          <w:lang w:val="en-US" w:eastAsia="zh-CN"/>
        </w:rPr>
        <w:t>4</w:t>
      </w:r>
      <w:r>
        <w:rPr>
          <w:rFonts w:hint="eastAsia" w:ascii="仿宋_GB2312" w:hAnsi="仿宋" w:eastAsia="仿宋_GB2312" w:cs="宋体"/>
          <w:color w:val="auto"/>
          <w:sz w:val="32"/>
          <w:szCs w:val="32"/>
          <w:highlight w:val="none"/>
        </w:rPr>
        <w:t>年滕州市医疗保障工作要点》印发给你们，请结合实际</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rPr>
        <w:t>认真抓好贯彻落实。</w:t>
      </w:r>
    </w:p>
    <w:p w14:paraId="773B74B1">
      <w:pPr>
        <w:widowControl/>
        <w:spacing w:line="600" w:lineRule="exact"/>
        <w:ind w:firstLine="640" w:firstLineChars="200"/>
        <w:jc w:val="left"/>
        <w:rPr>
          <w:rFonts w:ascii="仿宋_GB2312" w:eastAsia="仿宋_GB2312" w:cs="宋体"/>
          <w:sz w:val="32"/>
          <w:szCs w:val="32"/>
          <w:highlight w:val="none"/>
        </w:rPr>
      </w:pPr>
      <w:bookmarkStart w:id="0" w:name="_GoBack"/>
      <w:bookmarkEnd w:id="0"/>
    </w:p>
    <w:p w14:paraId="21E94609">
      <w:pPr>
        <w:widowControl/>
        <w:spacing w:line="600" w:lineRule="exact"/>
        <w:ind w:firstLine="640" w:firstLineChars="200"/>
        <w:jc w:val="left"/>
        <w:rPr>
          <w:rFonts w:hint="eastAsia" w:ascii="仿宋_GB2312" w:eastAsia="仿宋_GB2312" w:cs="宋体"/>
          <w:sz w:val="32"/>
          <w:szCs w:val="32"/>
          <w:highlight w:val="none"/>
          <w:lang w:eastAsia="zh-CN"/>
        </w:rPr>
      </w:pPr>
    </w:p>
    <w:p w14:paraId="06C81106">
      <w:pPr>
        <w:widowControl/>
        <w:wordWrap w:val="0"/>
        <w:spacing w:line="240" w:lineRule="auto"/>
        <w:ind w:firstLine="640" w:firstLineChars="200"/>
        <w:jc w:val="right"/>
        <w:outlineLvl w:val="0"/>
        <w:rPr>
          <w:rFonts w:ascii="仿宋_GB2312" w:hAnsi="仿宋" w:eastAsia="仿宋_GB2312" w:cs="宋体"/>
          <w:sz w:val="32"/>
          <w:szCs w:val="32"/>
          <w:highlight w:val="none"/>
        </w:rPr>
      </w:pPr>
      <w:r>
        <w:rPr>
          <w:rFonts w:hint="eastAsia" w:ascii="仿宋_GB2312" w:hAnsi="仿宋" w:eastAsia="仿宋_GB2312" w:cs="宋体"/>
          <w:sz w:val="32"/>
          <w:szCs w:val="32"/>
          <w:highlight w:val="none"/>
          <w:lang w:val="en-US" w:eastAsia="zh-CN"/>
        </w:rPr>
        <w:t xml:space="preserve">                              </w:t>
      </w:r>
      <w:r>
        <w:rPr>
          <w:rFonts w:hint="eastAsia" w:ascii="仿宋_GB2312" w:hAnsi="仿宋" w:eastAsia="仿宋_GB2312" w:cs="宋体"/>
          <w:sz w:val="32"/>
          <w:szCs w:val="32"/>
          <w:highlight w:val="none"/>
        </w:rPr>
        <w:t xml:space="preserve">滕州市医疗保障局 </w:t>
      </w:r>
    </w:p>
    <w:p w14:paraId="5AA5C72A">
      <w:pPr>
        <w:widowControl/>
        <w:wordWrap w:val="0"/>
        <w:spacing w:line="600" w:lineRule="exact"/>
        <w:ind w:firstLine="5760" w:firstLineChars="1800"/>
        <w:jc w:val="right"/>
        <w:outlineLvl w:val="0"/>
        <w:rPr>
          <w:rFonts w:hint="eastAsia" w:ascii="仿宋_GB2312" w:hAnsi="仿宋" w:eastAsia="仿宋_GB2312" w:cs="宋体"/>
          <w:sz w:val="32"/>
          <w:szCs w:val="32"/>
          <w:highlight w:val="none"/>
        </w:rPr>
      </w:pPr>
      <w:r>
        <w:rPr>
          <w:rFonts w:hint="eastAsia" w:ascii="仿宋_GB2312" w:eastAsia="仿宋_GB2312" w:cs="宋体"/>
          <w:sz w:val="32"/>
          <w:szCs w:val="32"/>
          <w:highlight w:val="none"/>
          <w:lang w:val="en-US" w:eastAsia="zh-CN"/>
        </w:rPr>
        <w:t xml:space="preserve"> </w:t>
      </w:r>
      <w:r>
        <w:rPr>
          <w:rFonts w:hint="eastAsia" w:ascii="仿宋_GB2312" w:eastAsia="仿宋_GB2312" w:cs="宋体"/>
          <w:sz w:val="32"/>
          <w:szCs w:val="32"/>
          <w:highlight w:val="none"/>
        </w:rPr>
        <w:t>202</w:t>
      </w:r>
      <w:r>
        <w:rPr>
          <w:rFonts w:hint="eastAsia" w:ascii="仿宋_GB2312" w:eastAsia="仿宋_GB2312" w:cs="宋体"/>
          <w:sz w:val="32"/>
          <w:szCs w:val="32"/>
          <w:highlight w:val="none"/>
          <w:lang w:val="en-US" w:eastAsia="zh-CN"/>
        </w:rPr>
        <w:t>4</w:t>
      </w:r>
      <w:r>
        <w:rPr>
          <w:rFonts w:hint="eastAsia" w:ascii="仿宋_GB2312" w:hAnsi="仿宋" w:eastAsia="仿宋_GB2312" w:cs="宋体"/>
          <w:sz w:val="32"/>
          <w:szCs w:val="32"/>
          <w:highlight w:val="none"/>
        </w:rPr>
        <w:t>年</w:t>
      </w:r>
      <w:r>
        <w:rPr>
          <w:rFonts w:hint="eastAsia" w:ascii="仿宋_GB2312" w:hAnsi="仿宋" w:eastAsia="仿宋_GB2312" w:cs="宋体"/>
          <w:sz w:val="32"/>
          <w:szCs w:val="32"/>
          <w:highlight w:val="none"/>
          <w:lang w:val="en-US" w:eastAsia="zh-CN"/>
        </w:rPr>
        <w:t>2</w:t>
      </w:r>
      <w:r>
        <w:rPr>
          <w:rFonts w:hint="eastAsia" w:ascii="仿宋_GB2312" w:hAnsi="仿宋" w:eastAsia="仿宋_GB2312" w:cs="宋体"/>
          <w:sz w:val="32"/>
          <w:szCs w:val="32"/>
          <w:highlight w:val="none"/>
        </w:rPr>
        <w:t>月</w:t>
      </w:r>
      <w:r>
        <w:rPr>
          <w:rFonts w:hint="eastAsia" w:ascii="仿宋_GB2312" w:hAnsi="仿宋" w:eastAsia="仿宋_GB2312" w:cs="宋体"/>
          <w:sz w:val="32"/>
          <w:szCs w:val="32"/>
          <w:highlight w:val="none"/>
          <w:lang w:val="en-US" w:eastAsia="zh-CN"/>
        </w:rPr>
        <w:t>29</w:t>
      </w:r>
      <w:r>
        <w:rPr>
          <w:rFonts w:hint="eastAsia" w:ascii="仿宋_GB2312" w:hAnsi="仿宋" w:eastAsia="仿宋_GB2312" w:cs="宋体"/>
          <w:sz w:val="32"/>
          <w:szCs w:val="32"/>
          <w:highlight w:val="none"/>
        </w:rPr>
        <w:t xml:space="preserve">日  </w:t>
      </w:r>
    </w:p>
    <w:p w14:paraId="793D291D">
      <w:pPr>
        <w:rPr>
          <w:rFonts w:hint="eastAsia" w:ascii="仿宋_GB2312" w:hAnsi="仿宋" w:eastAsia="仿宋_GB2312" w:cs="宋体"/>
          <w:sz w:val="32"/>
          <w:szCs w:val="32"/>
          <w:highlight w:val="none"/>
        </w:rPr>
      </w:pPr>
      <w:r>
        <w:rPr>
          <w:rFonts w:hint="eastAsia" w:ascii="仿宋_GB2312" w:hAnsi="仿宋" w:eastAsia="仿宋_GB2312" w:cs="宋体"/>
          <w:sz w:val="32"/>
          <w:szCs w:val="32"/>
          <w:highlight w:val="none"/>
        </w:rPr>
        <w:br w:type="page"/>
      </w:r>
    </w:p>
    <w:p w14:paraId="00FA48D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w:t>
      </w:r>
      <w:r>
        <w:rPr>
          <w:rFonts w:hint="eastAsia" w:ascii="方正小标宋简体" w:hAnsi="方正小标宋简体" w:eastAsia="方正小标宋简体" w:cs="方正小标宋简体"/>
          <w:sz w:val="44"/>
          <w:szCs w:val="44"/>
          <w:lang w:val="en-US" w:eastAsia="zh-CN"/>
        </w:rPr>
        <w:t>滕州</w:t>
      </w:r>
      <w:r>
        <w:rPr>
          <w:rFonts w:hint="eastAsia" w:ascii="方正小标宋简体" w:hAnsi="方正小标宋简体" w:eastAsia="方正小标宋简体" w:cs="方正小标宋简体"/>
          <w:sz w:val="44"/>
          <w:szCs w:val="44"/>
        </w:rPr>
        <w:t>市医疗保障工作要点</w:t>
      </w:r>
    </w:p>
    <w:p w14:paraId="46A800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p>
    <w:p w14:paraId="4F8C91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党的二十大精神及中央经济工作会议精神，认真贯彻落实习近平总书记关于医保工作的重要指示批示、视察枣庄重要指示精神以及市委、市政府和国家医保局、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医保局工作要求，以市委“五个一”工作思路为引领，以贯彻落实市委“重点项目落地见效年”、省局“规范落实年”为抓手，坚持稳中求进工作总基调，聚焦省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重点工作任务</w:t>
      </w:r>
      <w:r>
        <w:rPr>
          <w:rFonts w:hint="eastAsia" w:ascii="仿宋_GB2312" w:hAnsi="仿宋_GB2312" w:eastAsia="仿宋_GB2312" w:cs="仿宋_GB2312"/>
          <w:sz w:val="32"/>
          <w:szCs w:val="32"/>
        </w:rPr>
        <w:t xml:space="preserve">，统筹抓好优服务、稳改革、重规范、强落实、保安全，巩固拓展医保改革发展成果，持续提升医保公共管理服务水平，在更高水平上推动医保高质量发展，为谱写新时代现代化强市建设新篇章积极贡献医保力量。 </w:t>
      </w:r>
    </w:p>
    <w:p w14:paraId="6459DD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一、聚力深化全面从严治党，充分发挥引领保障作用 </w:t>
      </w:r>
    </w:p>
    <w:p w14:paraId="02F493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新时代中国特色社会主义思想和党的二十大精神，严格落实“第一议题”和党组理论学习中心组学习制度，完善学习交流机制，巩固主题教育成果，深入推动模范机关建设。深刻领悟“两个确立”决定性意义，切实增强“四个意识”、坚定“四个自信”、做到“两个维护”。</w:t>
      </w:r>
      <w:r>
        <w:rPr>
          <w:rFonts w:hint="eastAsia" w:ascii="仿宋_GB2312" w:hAnsi="仿宋_GB2312" w:eastAsia="仿宋_GB2312" w:cs="仿宋_GB2312"/>
          <w:sz w:val="32"/>
          <w:szCs w:val="32"/>
          <w:lang w:val="en-US" w:eastAsia="zh-CN"/>
        </w:rPr>
        <w:t>落实好各级巡视</w:t>
      </w:r>
      <w:r>
        <w:rPr>
          <w:rFonts w:hint="eastAsia" w:ascii="仿宋_GB2312" w:hAnsi="仿宋_GB2312" w:eastAsia="仿宋_GB2312" w:cs="仿宋_GB2312"/>
          <w:sz w:val="32"/>
          <w:szCs w:val="32"/>
        </w:rPr>
        <w:t>巡察反馈问题整改，支持配合派驻纪检监察组工作。压实意识形态工作责任制，健全重大决策风险隐患分析研判机制，加强意识形态阵地建设，严守意识形态安全。大力开展党性教育，全面排查廉政风险点，严格落实党风廉政建设责任制。强化纪律建设，坚持严的主基调正风肃纪反腐，锲而不舍落实中央八项规定精神，持续“纠四风”“树新风”。加强廉洁文化建设，一体推进不敢腐、不能腐、不想腐，持续推进全面从严治党纵深发展。（责任单位：</w:t>
      </w:r>
      <w:r>
        <w:rPr>
          <w:rFonts w:hint="eastAsia" w:ascii="仿宋_GB2312" w:hAnsi="仿宋_GB2312" w:eastAsia="仿宋_GB2312" w:cs="仿宋_GB2312"/>
          <w:sz w:val="32"/>
          <w:szCs w:val="32"/>
          <w:lang w:val="en-US" w:eastAsia="zh-CN"/>
        </w:rPr>
        <w:t>局党组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各科室、市医疗保险事业中心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市医疗保险基金稽核中心</w:t>
      </w:r>
      <w:r>
        <w:rPr>
          <w:rFonts w:hint="eastAsia" w:ascii="仿宋_GB2312" w:hAnsi="仿宋_GB2312" w:eastAsia="仿宋_GB2312" w:cs="仿宋_GB2312"/>
          <w:sz w:val="32"/>
          <w:szCs w:val="32"/>
        </w:rPr>
        <w:t xml:space="preserve">；第一位为牵头单位，下同） </w:t>
      </w:r>
    </w:p>
    <w:p w14:paraId="66B043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二、聚力完善多层次待遇保障体系，提升群众医保获得感 </w:t>
      </w:r>
    </w:p>
    <w:p w14:paraId="112960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落实医疗保障待遇清单制度，规范医保待遇衔接机制。稳妥推进职工医保省级统筹和门诊共济保障机制改革，加强督导调度，强化运行监测。完善门诊单独支付病种范围。持续巩固居民住院费用待遇保障水平，政策范围内基金支付比例稳定在70%左右。</w:t>
      </w:r>
      <w:r>
        <w:rPr>
          <w:rFonts w:hint="eastAsia" w:ascii="仿宋_GB2312" w:hAnsi="仿宋_GB2312" w:eastAsia="仿宋_GB2312" w:cs="仿宋_GB2312"/>
          <w:sz w:val="32"/>
          <w:szCs w:val="32"/>
          <w:u w:val="none"/>
        </w:rPr>
        <w:t>探索将辅助器具租赁费用等纳入保障范围，</w:t>
      </w:r>
      <w:r>
        <w:rPr>
          <w:rFonts w:hint="eastAsia" w:ascii="仿宋_GB2312" w:hAnsi="仿宋_GB2312" w:eastAsia="仿宋_GB2312" w:cs="仿宋_GB2312"/>
          <w:sz w:val="32"/>
          <w:szCs w:val="32"/>
        </w:rPr>
        <w:t>推进异地长期居住失能人员享受长期护理保险。落实重特大疾病医疗保险和救助制度，强化医疗救助资金管理使用，完善部门间信息共享机制，确保救助对象应保尽保、应助尽助。落实推动定制型商业保险可持续发展的意见，提高赔付率，延伸增值服务，提升产品吸引力和保障力。贯彻落实《枣庄市村卫生室三年提升行动实施方案（2024—2026年）》工作任务，</w:t>
      </w:r>
      <w:r>
        <w:rPr>
          <w:rFonts w:hint="default" w:ascii="仿宋_GB2312" w:hAnsi="仿宋_GB2312" w:eastAsia="仿宋_GB2312" w:cs="仿宋_GB2312"/>
          <w:color w:val="auto"/>
          <w:sz w:val="32"/>
          <w:szCs w:val="32"/>
          <w:u w:val="none"/>
          <w:lang w:val="en-US" w:eastAsia="zh-CN"/>
        </w:rPr>
        <w:t>构建</w:t>
      </w:r>
      <w:r>
        <w:rPr>
          <w:rFonts w:hint="eastAsia" w:ascii="仿宋_GB2312" w:hAnsi="仿宋_GB2312" w:eastAsia="仿宋_GB2312" w:cs="仿宋_GB2312"/>
          <w:color w:val="auto"/>
          <w:sz w:val="32"/>
          <w:szCs w:val="32"/>
          <w:u w:val="none"/>
          <w:lang w:val="en-US" w:eastAsia="zh-CN"/>
        </w:rPr>
        <w:t>市、镇街、村</w:t>
      </w:r>
      <w:r>
        <w:rPr>
          <w:rFonts w:hint="default" w:ascii="仿宋_GB2312" w:hAnsi="仿宋_GB2312" w:eastAsia="仿宋_GB2312" w:cs="仿宋_GB2312"/>
          <w:color w:val="auto"/>
          <w:sz w:val="32"/>
          <w:szCs w:val="32"/>
          <w:u w:val="none"/>
          <w:lang w:val="en-US" w:eastAsia="zh-CN"/>
        </w:rPr>
        <w:t>统一的医疗保障经办管理体系，</w:t>
      </w:r>
      <w:r>
        <w:rPr>
          <w:rFonts w:hint="eastAsia" w:ascii="仿宋_GB2312" w:hAnsi="仿宋_GB2312" w:eastAsia="仿宋_GB2312" w:cs="仿宋_GB2312"/>
          <w:sz w:val="32"/>
          <w:szCs w:val="32"/>
        </w:rPr>
        <w:t xml:space="preserve">全面提升基层医疗机构保障水平。完善生育支持政策，进一步提高参保职工生育待遇保障水平。（责任单位：待遇保障和医药服务管理科、市医疗保险事业中心） </w:t>
      </w:r>
    </w:p>
    <w:p w14:paraId="5B77EB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三、聚力提升医保支付方式改革精细化水平，提高医保基金使用效能 </w:t>
      </w:r>
    </w:p>
    <w:p w14:paraId="63B473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加强DRG改革运行监测分析，实施改革效果评估，</w:t>
      </w:r>
      <w:r>
        <w:rPr>
          <w:rFonts w:hint="eastAsia" w:ascii="仿宋_GB2312" w:hAnsi="仿宋_GB2312" w:eastAsia="仿宋_GB2312" w:cs="仿宋_GB2312"/>
          <w:sz w:val="32"/>
          <w:szCs w:val="32"/>
          <w:u w:val="none"/>
          <w:lang w:val="en-US" w:eastAsia="zh-CN"/>
        </w:rPr>
        <w:t>做好</w:t>
      </w:r>
      <w:r>
        <w:rPr>
          <w:rFonts w:hint="eastAsia" w:ascii="仿宋_GB2312" w:hAnsi="仿宋_GB2312" w:eastAsia="仿宋_GB2312" w:cs="仿宋_GB2312"/>
          <w:sz w:val="32"/>
          <w:szCs w:val="32"/>
          <w:u w:val="none"/>
        </w:rPr>
        <w:t>巡回指导和定点医疗机构付费评价</w:t>
      </w:r>
      <w:r>
        <w:rPr>
          <w:rFonts w:hint="eastAsia" w:ascii="仿宋_GB2312" w:hAnsi="仿宋_GB2312" w:eastAsia="仿宋_GB2312" w:cs="仿宋_GB2312"/>
          <w:sz w:val="32"/>
          <w:szCs w:val="32"/>
          <w:u w:val="none"/>
          <w:lang w:val="en-US" w:eastAsia="zh-CN"/>
        </w:rPr>
        <w:t>相关工作</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val="en-US" w:eastAsia="zh-CN"/>
        </w:rPr>
        <w:t>按上级部署，</w:t>
      </w:r>
      <w:r>
        <w:rPr>
          <w:rFonts w:hint="eastAsia" w:ascii="仿宋_GB2312" w:hAnsi="仿宋_GB2312" w:eastAsia="仿宋_GB2312" w:cs="仿宋_GB2312"/>
          <w:sz w:val="32"/>
          <w:szCs w:val="32"/>
        </w:rPr>
        <w:t>科学设置基层病组，深化省内异地就医住院按DRG付费改革，基金覆盖率达到85%以上。稳步实施PDPM付费改革试点工作，完善适合中医药特点的支付方式，不断调整细化床日付费标准，确保改革平稳有序进行。落实全省医疗机构制剂、中药饮片医保目录。严格执行2023版国家医保药品目录，将新增国家谈判药品和不高于支付标准的竞价药品全部纳入“双通道”管理，落实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局“双通道”药店相关要求，年底前将符合条件的定点零售药店纳入“双通道”管理。</w:t>
      </w:r>
      <w:r>
        <w:rPr>
          <w:rFonts w:hint="eastAsia" w:ascii="仿宋_GB2312" w:hAnsi="仿宋_GB2312" w:eastAsia="仿宋_GB2312" w:cs="仿宋_GB2312"/>
          <w:sz w:val="32"/>
          <w:szCs w:val="32"/>
          <w:lang w:val="en-US" w:eastAsia="zh-CN"/>
        </w:rPr>
        <w:t>探索推进</w:t>
      </w:r>
      <w:r>
        <w:rPr>
          <w:rFonts w:hint="eastAsia" w:ascii="仿宋_GB2312" w:hAnsi="仿宋_GB2312" w:eastAsia="仿宋_GB2312" w:cs="仿宋_GB2312"/>
          <w:sz w:val="32"/>
          <w:szCs w:val="32"/>
        </w:rPr>
        <w:t>紧密型县域医共体</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在DRG付费框架下</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医保基金总额付费</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 xml:space="preserve">。（责任单位：待遇保障和医药服务管理科、市医疗保险事业中心） </w:t>
      </w:r>
    </w:p>
    <w:p w14:paraId="7163B8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四、聚力深化集中带量采购和医药服务价格改革，进一步减轻群众医药费用负担 </w:t>
      </w:r>
    </w:p>
    <w:p w14:paraId="39DBF9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集采全流程监管，完善中选药品使用、供应、监测机制，督导医疗机构优先使用中选产品，提升药品和医用耗材集采落地质量。强化基层集采药品供应全周期管理，畅通医疗机构反馈问题渠道，压实中选企业履约责任，有序扩大集采药品进基层范围。全面落实国家、省际联盟和省各批次药品和高值医用耗材集中带量采购结果，年底前各品类集采药品累计达到800种以上、医用耗材累计达到40类以上。完善医疗服务项目价格的信息收集、测算、评估工作机制，稳步实施医疗服务价格动态调整，突出体现技术劳务价值，支持重点专科、优势学科发展。推进药学类医疗项目、辅助生殖类项目落地，按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医保局部署要求开展大型设备检查价格专项治理。全面加强集采中选产品医保基金与医药企业直接结算，及时拨付集采结余留用资金。落实服务绿色低碳高质量发展的实施意见，不断完善促进医药产业高质量发展的政策措施。（责任单位：</w:t>
      </w:r>
      <w:r>
        <w:rPr>
          <w:rFonts w:hint="eastAsia" w:ascii="仿宋_GB2312" w:hAnsi="仿宋_GB2312" w:eastAsia="仿宋_GB2312" w:cs="仿宋_GB2312"/>
          <w:sz w:val="32"/>
          <w:szCs w:val="32"/>
          <w:lang w:val="en-US" w:eastAsia="zh-CN"/>
        </w:rPr>
        <w:t>医药价格和招标采购科</w:t>
      </w:r>
      <w:r>
        <w:rPr>
          <w:rFonts w:hint="eastAsia" w:ascii="仿宋_GB2312" w:hAnsi="仿宋_GB2312" w:eastAsia="仿宋_GB2312" w:cs="仿宋_GB2312"/>
          <w:sz w:val="32"/>
          <w:szCs w:val="32"/>
        </w:rPr>
        <w:t xml:space="preserve">、市医疗保险事业中心） </w:t>
      </w:r>
    </w:p>
    <w:p w14:paraId="1CD5D4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五、聚力强化常态化监管稽核，有力维护医保基金安全 </w:t>
      </w:r>
    </w:p>
    <w:p w14:paraId="35DAB4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推进现场监管全面覆盖，持续开展打击欺诈骗保专项整治。聚焦精神病、检查检验、康复理疗、口腔等重点领域开展专项稽核；聚焦省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转办的虚假就医、医保药品倒卖等反欺诈大数据应用问题线索，及时予以重点查办；聚焦DRG支付、门诊统筹、门诊慢特病、异地就医等医保政策实施后易发生的违法违规行为开展专项稽核，实现医保基金使用稽核全覆盖，全市长护险稽核开展率达到100%。开展第三方商保合作机构专项检查，筑牢医保基金安全防线。开展2023年度定点医疗机构、长期护理保险定点服务机构、定点零售药店医保信用评级，强化评价结果应用。上线国家版医保基金智能监管子系统，对定点医疗机构医保基金使用行为实时动态管理，实现事前提醒、事中审核、事后监管全过程智能审核和监控，提升医保基金监管智能化、精准化水平。进一步发挥医保基金监管工作联席会议机制作用，推进部门信息共享、协同执法。（责任单位：</w:t>
      </w:r>
      <w:r>
        <w:rPr>
          <w:rFonts w:hint="eastAsia" w:ascii="仿宋_GB2312" w:hAnsi="仿宋_GB2312" w:eastAsia="仿宋_GB2312" w:cs="仿宋_GB2312"/>
          <w:sz w:val="32"/>
          <w:szCs w:val="32"/>
          <w:lang w:val="en-US" w:eastAsia="zh-CN"/>
        </w:rPr>
        <w:t>市医疗保险基金稽核中心</w:t>
      </w:r>
      <w:r>
        <w:rPr>
          <w:rFonts w:hint="eastAsia" w:ascii="仿宋_GB2312" w:hAnsi="仿宋_GB2312" w:eastAsia="仿宋_GB2312" w:cs="仿宋_GB2312"/>
          <w:sz w:val="32"/>
          <w:szCs w:val="32"/>
        </w:rPr>
        <w:t xml:space="preserve">） </w:t>
      </w:r>
    </w:p>
    <w:p w14:paraId="0DB205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六、聚力全面提质增效，不断优化医保经办服务水平 </w:t>
      </w:r>
    </w:p>
    <w:p w14:paraId="1A4368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加强基层医保服务能力建设，落实省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局基层医保服务清单制度，落实《社会保险经办条例》，优化医保经办服务流程，加快数字化转型，落实省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医保便民服务措施，全面实施医保服务市域通办，推行更多事项“全省通办”，推出生育津贴等6个事项“免申即享”、异地就医等5个事项“电话即办”。加强定点协议管理，完善医保服务协议范本，落实医保协议管理经办规程，</w:t>
      </w:r>
      <w:r>
        <w:rPr>
          <w:rFonts w:hint="eastAsia" w:ascii="仿宋_GB2312" w:hAnsi="仿宋_GB2312" w:eastAsia="仿宋_GB2312" w:cs="仿宋_GB2312"/>
          <w:sz w:val="32"/>
          <w:szCs w:val="32"/>
          <w:u w:val="none"/>
        </w:rPr>
        <w:t>开展定点医疗机构医保服务能力评价。</w:t>
      </w:r>
      <w:r>
        <w:rPr>
          <w:rFonts w:hint="eastAsia" w:ascii="仿宋_GB2312" w:hAnsi="仿宋_GB2312" w:eastAsia="仿宋_GB2312" w:cs="仿宋_GB2312"/>
          <w:sz w:val="32"/>
          <w:szCs w:val="32"/>
        </w:rPr>
        <w:t>根据省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 xml:space="preserve">局相关要求，通过一体化的方式将符合条件的村卫生室纳入医保定点管理。健全医保结算清算制度，优化协商谈判和激励约束机制，严禁拖欠定点医药机构医保费用。强化经办管理服务评价结果应用。探索扩大跨省门诊慢特病直接结算病种数量。按照“应纳尽纳”的原则，将符合条件的医疗机构纳入异地就医直接结算范围，探索定点零售药店门诊统筹异地直接结算。提升异地就医直接结算率，省内异地和跨省住院、普通门诊直接结算率稳定在90%以上，门诊慢特病跨省直接结算率达到70%以上。推动实现长期护理保险待遇申请网上办理，拓宽申请受理渠道。深入推进“两进一赛”活动，提升医保经办队伍专业化、规范化水平。（责任单位：市医疗保险事业中心、待遇保障和医药服务管理科） </w:t>
      </w:r>
    </w:p>
    <w:p w14:paraId="16121A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七、聚力优化治理效能，有效筑牢医保事业发展基础 </w:t>
      </w:r>
    </w:p>
    <w:p w14:paraId="5DCAF8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深入推进医保参保扩面，开展基本医保全民参保集中宣传月活动，</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部门协同力度，精准锁定未参保人员信息，确保参保率达到96%以上。加强预算绩效管理，严禁编制赤字预算和挤占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挪用医保基金，开展医保基金、转移支付资金绩效评价，提升绩效管理水平。全面落实省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局信息化建设要求，积极推进医保数据赋能应用，根据省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局规划设计，</w:t>
      </w:r>
      <w:r>
        <w:rPr>
          <w:rFonts w:hint="eastAsia" w:ascii="仿宋_GB2312" w:hAnsi="仿宋_GB2312" w:eastAsia="仿宋_GB2312" w:cs="仿宋_GB2312"/>
          <w:sz w:val="32"/>
          <w:szCs w:val="32"/>
          <w:lang w:val="en-US" w:eastAsia="zh-CN"/>
        </w:rPr>
        <w:t>完善</w:t>
      </w:r>
      <w:r>
        <w:rPr>
          <w:rFonts w:hint="eastAsia" w:ascii="仿宋_GB2312" w:hAnsi="仿宋_GB2312" w:eastAsia="仿宋_GB2312" w:cs="仿宋_GB2312"/>
          <w:sz w:val="32"/>
          <w:szCs w:val="32"/>
        </w:rPr>
        <w:t xml:space="preserve">医保大数据地方应用专区，促进数据有序共享、应用系统联动、业务高效协同、政策相互衔接。深化“三电子两支付”便民服务，实现二级及以上定点医疗机构医保码全流程应用，三级定点医疗机构开通医保移动支付应用，进一步提升定点医药机构医保码和医保移动支付的结算应用水平。探索开展医保“可信支付”应用，有序推进信用就医在定点医疗机构的落地应用。持续推动医保电子处方流转，推进普通门诊统筹定点零售药店互联网问诊购药结算。加强医保网络和数据安全管理，突出加强第三方人员管理，完善预警监测和应急处置工作机制。引进标准化的理念和方法，深入推进管理和业务流程再造，制定实施科学完善的内控体系。（责任单位：市医疗保险事业中心） </w:t>
      </w:r>
    </w:p>
    <w:p w14:paraId="0546AD6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八、聚力服务中心重点，全力保障服务“重点项目落地见效年” </w:t>
      </w:r>
    </w:p>
    <w:p w14:paraId="23B6E6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全市“重点项目落地见效年”各项安排部署，以“五个一”发展思路为引领，充分发挥医保民生“安全网”、发展“助推器”作用，助力全市重点项目落地见效。常态化推进思想能力作风建设，加强干部教育培训，打造过硬医保干部队伍。积极主动服务全市人才招引，部署应用“双招双引”人才医疗保障服务平台，开通服务“绿色通道”和专属服务热线。坚持“服务不越位、帮忙不添乱”的“店小二”工作思路，为帮包项目、企业出谋划策、排忧解难，助推帮包项目顺利建成达产。实施“一二三”一线党支部工作法，在帮包项目、企业设立“惠民先锋”医保工作站，为项目、企业职工提供医保服务。持续加大招商引资力度，争当招商引资工作的参与者、实践者，全力助力“重点项目落地见效年”稳步实施。（责任单位：办公室、</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各科室、市医疗保险事业中心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市医疗保险基金稽核中心</w:t>
      </w:r>
      <w:r>
        <w:rPr>
          <w:rFonts w:hint="eastAsia" w:ascii="仿宋_GB2312" w:hAnsi="仿宋_GB2312" w:eastAsia="仿宋_GB2312" w:cs="仿宋_GB2312"/>
          <w:sz w:val="32"/>
          <w:szCs w:val="32"/>
        </w:rPr>
        <w:t xml:space="preserve">） </w:t>
      </w:r>
    </w:p>
    <w:p w14:paraId="22660F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九、聚力固本强基，贯彻落实“规范落实年”行动 </w:t>
      </w:r>
    </w:p>
    <w:p w14:paraId="0ADC14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局工作部署，制定实施“规范落实年”行动方案。全面厘清工作职责，建立分工负责、高效协同的工作机制。强化督帮并举、以督促干的理念，整合建立重点任务台账，进一步完善闭环管理机制，统筹抓好督导调研和评估评价，推动重点任务高效落实。加强法治医保建设，开展医保普法宣传，提升依法行政，科学决策水平。加强宣传引导，打造全市医保系统宣传矩阵，推广医保政策获取渠道，讲好医保故事，营造良好氛围。树牢</w:t>
      </w:r>
      <w:r>
        <w:rPr>
          <w:rFonts w:hint="eastAsia" w:ascii="仿宋_GB2312" w:hAnsi="仿宋_GB2312" w:eastAsia="仿宋_GB2312" w:cs="仿宋_GB2312"/>
          <w:sz w:val="32"/>
          <w:szCs w:val="32"/>
          <w:lang w:eastAsia="zh-CN"/>
        </w:rPr>
        <w:t>总体国家安全观</w:t>
      </w:r>
      <w:r>
        <w:rPr>
          <w:rFonts w:hint="eastAsia" w:ascii="仿宋_GB2312" w:hAnsi="仿宋_GB2312" w:eastAsia="仿宋_GB2312" w:cs="仿宋_GB2312"/>
          <w:sz w:val="32"/>
          <w:szCs w:val="32"/>
        </w:rPr>
        <w:t>，贯彻落实平安建设工作部署。坚守安全底线，强化信访办理和舆情监测处置，防范化解信访舆情事件。加强日常管理，严守机要保密安全。认真做好人大建议、政协提案办理。深入推进政务公开，做好医保政策宣传解读。深入开展文明创建工作。（责任单位：办公室、机关各科室、市医疗保险事业中心、市医疗保险基金稽核中心）</w:t>
      </w:r>
    </w:p>
    <w:p w14:paraId="3ED69F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p>
    <w:p w14:paraId="60D051A5">
      <w:pPr>
        <w:widowControl/>
        <w:wordWrap w:val="0"/>
        <w:spacing w:line="600" w:lineRule="exact"/>
        <w:jc w:val="center"/>
        <w:outlineLvl w:val="0"/>
        <w:rPr>
          <w:rFonts w:hint="eastAsia" w:ascii="方正小标宋简体" w:hAnsi="方正小标宋简体" w:eastAsia="方正小标宋简体" w:cs="方正小标宋简体"/>
          <w:sz w:val="44"/>
          <w:szCs w:val="44"/>
          <w:highlight w:val="none"/>
        </w:rPr>
      </w:pP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F37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502EE">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60288;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D0502EE">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NTIxOGE2OGMwZjM0N2E2Y2IwOGU4N2E0OTE0ODkifQ=="/>
  </w:docVars>
  <w:rsids>
    <w:rsidRoot w:val="34B93B2C"/>
    <w:rsid w:val="05031C1C"/>
    <w:rsid w:val="07E662F7"/>
    <w:rsid w:val="08966CF8"/>
    <w:rsid w:val="09722ECD"/>
    <w:rsid w:val="0C0E31CD"/>
    <w:rsid w:val="0D591B83"/>
    <w:rsid w:val="17AC1750"/>
    <w:rsid w:val="1D3056C6"/>
    <w:rsid w:val="1F59095F"/>
    <w:rsid w:val="1F8D5B01"/>
    <w:rsid w:val="224C31E9"/>
    <w:rsid w:val="248A0F22"/>
    <w:rsid w:val="27937BAD"/>
    <w:rsid w:val="28357978"/>
    <w:rsid w:val="298C1931"/>
    <w:rsid w:val="29DE3ED0"/>
    <w:rsid w:val="2ACA62AC"/>
    <w:rsid w:val="2E2C47ED"/>
    <w:rsid w:val="33086F79"/>
    <w:rsid w:val="34B93B2C"/>
    <w:rsid w:val="36986A6A"/>
    <w:rsid w:val="3801383D"/>
    <w:rsid w:val="39CF6C8D"/>
    <w:rsid w:val="39DA3FF3"/>
    <w:rsid w:val="3B391899"/>
    <w:rsid w:val="3DF80748"/>
    <w:rsid w:val="44EC107E"/>
    <w:rsid w:val="511A3EA9"/>
    <w:rsid w:val="54077030"/>
    <w:rsid w:val="542F0E0D"/>
    <w:rsid w:val="549D32DC"/>
    <w:rsid w:val="570828D5"/>
    <w:rsid w:val="59DC4537"/>
    <w:rsid w:val="5F9A5E4E"/>
    <w:rsid w:val="61383FB0"/>
    <w:rsid w:val="633875DC"/>
    <w:rsid w:val="641B2910"/>
    <w:rsid w:val="654303CA"/>
    <w:rsid w:val="6C1A5675"/>
    <w:rsid w:val="733E5398"/>
    <w:rsid w:val="7BFA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unhideWhenUsed/>
    <w:qFormat/>
    <w:uiPriority w:val="99"/>
    <w:pPr>
      <w:snapToGrid w:val="0"/>
      <w:spacing w:line="640" w:lineRule="exact"/>
      <w:ind w:firstLine="705"/>
    </w:pPr>
    <w:rPr>
      <w:rFonts w:ascii="仿宋_GB2312" w:hAnsi="Times New Roman" w:eastAsia="仿宋_GB2312" w:cs="宋体"/>
      <w:color w:val="00000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4162</Words>
  <Characters>4217</Characters>
  <Lines>0</Lines>
  <Paragraphs>0</Paragraphs>
  <TotalTime>9</TotalTime>
  <ScaleCrop>false</ScaleCrop>
  <LinksUpToDate>false</LinksUpToDate>
  <CharactersWithSpaces>4269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2023-03-20T03:25:00Z</dcterms:created>
  <dc:creator>志存高远</dc:creator>
  <cp:lastModifiedBy>admin</cp:lastModifiedBy>
  <cp:lastPrinted>2024-04-24T02:27:00Z</cp:lastPrinted>
  <dcterms:modified xsi:type="dcterms:W3CDTF">2024-09-25T08:19:06Z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02EAFC77684A459783DA4BCDF9915A7A_13</vt:lpwstr>
  </property>
</Properties>
</file>